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Управление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0" w:right="0" w:firstLine="0"/>
        <w:jc w:val="both"/>
        <w:tabs>
          <w:tab w:val="left" w:pos="283" w:leader="none"/>
          <w:tab w:val="left" w:pos="567" w:leader="none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Заместитель начальника отдела развития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i/>
          <w:sz w:val="32"/>
          <w:szCs w:val="32"/>
        </w:rPr>
      </w:r>
      <w:r>
        <w:rPr>
          <w:rFonts w:ascii="Times New Roman" w:hAnsi="Times New Roman" w:cs="Times New Roman"/>
          <w:b/>
          <w:bCs/>
          <w:i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«Теплоэнергетика и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предложений по отбору проектов для включения в государственные, региональные программы в сфере развития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проведения семинаров, совещаний для муниципальных образований по передовому опыту в сфере реформирования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 оперативной и аналитической информации по вопросам ЖКХ вышестоящему руководству;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за подготовкой объектов ЖКХ муниципальных образований к работе в отопительный сезон;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работе комиссий по вопросам, входящим в компетенцию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spacing w:before="0" w:beforeAutospacing="0" w:after="0" w:afterAutospacing="0" w:line="232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по разработке и утверждению схем теплоснабжения поселений, городских округов с численностью населения менее чем 500 тысяч человек;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проверки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в Министерство финансов Забайкальского края заявки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spacing w:before="0" w:beforeAutospacing="0" w:after="0" w:afterAutospacing="0" w:line="232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по составлению проекта краевого бюджета в части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предложений по кассовым выплатам на следующий месяц за текущим в отдел финансового планирования, бухгалтерского учета и отчетности Министерства на основании предложений муниципальных образований и потребности в соответствии с закрепленными полномочиями.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бычный (веб)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2025-04-16T03:30:52Z</dcterms:modified>
</cp:coreProperties>
</file>